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D7EE1" w14:paraId="0B93C165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1FB62" w14:textId="77777777" w:rsidR="001E620B" w:rsidRPr="007D7EE1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  <w:r w:rsidRPr="007D7EE1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B9517" wp14:editId="46137A62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6F35F" w14:textId="77777777" w:rsidR="0096267A" w:rsidRPr="0096267A" w:rsidRDefault="007C0585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Evropa za državljane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7B9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14:paraId="5BB6F35F" w14:textId="77777777" w:rsidR="0096267A" w:rsidRPr="0096267A" w:rsidRDefault="007C0585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Evropa za državljane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7D7EE1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44AD212" wp14:editId="7569FFE3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59860" w14:textId="77777777" w:rsidR="00BA0BFC" w:rsidRPr="007D7EE1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35013" w14:textId="77777777" w:rsidR="001232BD" w:rsidRPr="007D7EE1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</w:tr>
      <w:tr w:rsidR="00750C7E" w:rsidRPr="00602542" w14:paraId="2F70D5AA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6F0706" w14:textId="77777777" w:rsidR="00A923EF" w:rsidRPr="007D7EE1" w:rsidRDefault="007C0585" w:rsidP="00856F1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Projekt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</w:t>
            </w:r>
            <w:r w:rsidR="00856F1B" w:rsidRPr="00856F1B">
              <w:rPr>
                <w:rFonts w:ascii="Arial" w:hAnsi="Arial" w:cs="Arial"/>
                <w:b/>
                <w:sz w:val="32"/>
                <w:szCs w:val="32"/>
                <w:lang w:val="sl-SI"/>
              </w:rPr>
              <w:t>ROUND-TRIP: a Citizens Participation journey between</w:t>
            </w:r>
            <w:r w:rsidR="00856F1B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Local and European levels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“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je financirala Evropska unija v okviru programa</w:t>
            </w:r>
            <w:r w:rsidR="00734904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="00602542">
              <w:rPr>
                <w:rFonts w:ascii="Arial" w:hAnsi="Arial" w:cs="Arial"/>
                <w:b/>
                <w:sz w:val="32"/>
                <w:szCs w:val="32"/>
                <w:lang w:val="sl-SI"/>
              </w:rPr>
              <w:br/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„Evropa za državljane“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6D4806" w14:textId="77777777" w:rsidR="008442A8" w:rsidRPr="007D7EE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l-SI"/>
              </w:rPr>
            </w:pPr>
          </w:p>
        </w:tc>
      </w:tr>
      <w:tr w:rsidR="00750C7E" w:rsidRPr="00602542" w14:paraId="1C1E1297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1992D" w14:textId="77777777" w:rsidR="005B2DC9" w:rsidRPr="007D7EE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l-SI"/>
              </w:rPr>
            </w:pPr>
          </w:p>
        </w:tc>
      </w:tr>
      <w:tr w:rsidR="00750C7E" w:rsidRPr="005951CE" w14:paraId="461ADAF7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EA05" w14:textId="77777777" w:rsidR="00734904" w:rsidRPr="007D7EE1" w:rsidRDefault="005951CE" w:rsidP="00734904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>Sklop 2</w:t>
            </w:r>
            <w:r>
              <w:rPr>
                <w:rFonts w:cs="Arial"/>
                <w:szCs w:val="24"/>
                <w:lang w:val="sl-SI"/>
              </w:rPr>
              <w:t>,</w:t>
            </w:r>
            <w:r w:rsidR="0057678E" w:rsidRPr="007D7EE1">
              <w:rPr>
                <w:rFonts w:cs="Arial"/>
                <w:szCs w:val="24"/>
                <w:lang w:val="sl-SI"/>
              </w:rPr>
              <w:t xml:space="preserve"> ukrep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>
              <w:rPr>
                <w:rFonts w:cs="Arial"/>
                <w:szCs w:val="24"/>
                <w:lang w:val="sl-SI"/>
              </w:rPr>
              <w:t>2</w:t>
            </w:r>
            <w:r w:rsidR="00734904" w:rsidRPr="007D7EE1">
              <w:rPr>
                <w:rFonts w:cs="Arial"/>
                <w:szCs w:val="24"/>
                <w:lang w:val="sl-SI"/>
              </w:rPr>
              <w:t>.2</w:t>
            </w:r>
            <w:r w:rsidR="007D7EE1">
              <w:rPr>
                <w:rFonts w:cs="Arial"/>
                <w:szCs w:val="24"/>
                <w:lang w:val="sl-SI"/>
              </w:rPr>
              <w:t>: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 w:rsidR="0057678E" w:rsidRPr="007D7EE1">
              <w:rPr>
                <w:rFonts w:cs="Arial"/>
                <w:szCs w:val="24"/>
                <w:lang w:val="sl-SI"/>
              </w:rPr>
              <w:t>„</w:t>
            </w:r>
            <w:r>
              <w:rPr>
                <w:rFonts w:cs="Arial"/>
                <w:szCs w:val="24"/>
                <w:lang w:val="sl-SI"/>
              </w:rPr>
              <w:t>M</w:t>
            </w:r>
            <w:r w:rsidRPr="005951CE">
              <w:rPr>
                <w:rFonts w:cs="Arial"/>
                <w:szCs w:val="24"/>
                <w:lang w:val="sl-SI"/>
              </w:rPr>
              <w:t>rež mest</w:t>
            </w:r>
            <w:r w:rsidR="0057678E" w:rsidRPr="007D7EE1">
              <w:rPr>
                <w:rFonts w:cs="Arial"/>
                <w:szCs w:val="24"/>
                <w:lang w:val="sl-SI"/>
              </w:rPr>
              <w:t>“</w:t>
            </w:r>
          </w:p>
          <w:p w14:paraId="6C0DA060" w14:textId="77777777" w:rsidR="00734904" w:rsidRPr="005951CE" w:rsidRDefault="005951CE" w:rsidP="003636C8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Ukrep 2.3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Projektov civilne družbe</w:t>
            </w:r>
            <w:r w:rsidR="0057678E" w:rsidRPr="005951CE">
              <w:rPr>
                <w:rFonts w:cs="Arial"/>
                <w:szCs w:val="24"/>
                <w:lang w:val="sl-SI"/>
              </w:rPr>
              <w:t>“</w:t>
            </w:r>
          </w:p>
          <w:p w14:paraId="61CE658E" w14:textId="77777777" w:rsidR="001E620B" w:rsidRPr="005951CE" w:rsidRDefault="005951CE" w:rsidP="007D7EE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Sklop 1: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Evropski spomin“</w:t>
            </w:r>
          </w:p>
        </w:tc>
      </w:tr>
      <w:tr w:rsidR="00750C7E" w:rsidRPr="007D7EE1" w14:paraId="5D96A736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2288" w14:textId="30AF8232" w:rsidR="00C108DB" w:rsidRPr="007D7EE1" w:rsidRDefault="003C6F4A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lastRenderedPageBreak/>
              <w:t xml:space="preserve">V okviru tega projekta je bilo organiziranih </w:t>
            </w:r>
            <w:r w:rsidR="00856F1B">
              <w:rPr>
                <w:rFonts w:cs="Arial"/>
                <w:i w:val="0"/>
                <w:sz w:val="22"/>
                <w:szCs w:val="22"/>
                <w:lang w:val="sl-SI" w:eastAsia="en-GB"/>
              </w:rPr>
              <w:t>5</w:t>
            </w: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856F1B">
              <w:rPr>
                <w:rFonts w:cs="Arial"/>
                <w:i w:val="0"/>
                <w:sz w:val="22"/>
                <w:szCs w:val="22"/>
                <w:lang w:val="sl-SI" w:eastAsia="en-GB"/>
              </w:rPr>
              <w:t>dogodkov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</w:p>
          <w:p w14:paraId="69EC64FD" w14:textId="77777777" w:rsidR="00C108DB" w:rsidRPr="007D7EE1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</w:p>
          <w:p w14:paraId="2CEB36D9" w14:textId="77777777" w:rsidR="00E336C8" w:rsidRPr="007D7EE1" w:rsidRDefault="00581B1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Dogodek </w:t>
            </w:r>
            <w:r w:rsidR="00734904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1 </w:t>
            </w:r>
            <w:r w:rsidR="00856F1B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– koordinacijski sestanek</w:t>
            </w:r>
          </w:p>
          <w:p w14:paraId="56A3DCC0" w14:textId="6F0A93B8" w:rsidR="000651D7" w:rsidRPr="007D7EE1" w:rsidRDefault="00581B1B" w:rsidP="000651D7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E336C8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B6BB4">
              <w:rPr>
                <w:rFonts w:ascii="Arial" w:hAnsi="Arial" w:cs="Arial"/>
                <w:sz w:val="22"/>
                <w:szCs w:val="22"/>
                <w:lang w:val="sl-SI"/>
              </w:rPr>
              <w:t xml:space="preserve">Dogodek je omogočil srečanje 10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državljanov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856F1B">
              <w:rPr>
                <w:rFonts w:ascii="Arial" w:hAnsi="Arial" w:cs="Arial"/>
                <w:sz w:val="22"/>
                <w:szCs w:val="22"/>
                <w:lang w:val="sl-SI"/>
              </w:rPr>
              <w:t>ki prihajajo iz 5 partnerksih držav – Portugalska, Nemčija, Litva, Slovenija in Poljska.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14:paraId="67589B3F" w14:textId="099B8CDA" w:rsidR="00C108DB" w:rsidRPr="007D7EE1" w:rsidRDefault="0082313C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/</w:t>
            </w: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datum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Dogodek je potekal v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1B6BB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Rybnik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u, Polska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12/02/2015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do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13/02/2015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14:paraId="798E1494" w14:textId="4EA47F6B" w:rsidR="00B31E4C" w:rsidRDefault="0082313C" w:rsidP="00DB5243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</w:t>
            </w:r>
            <w:r w:rsidR="00E336C8" w:rsidRPr="007D7EE1">
              <w:rPr>
                <w:rFonts w:cs="Arial"/>
                <w:i w:val="0"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Koordinaciski sestanek je bil namenjen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uskladitvi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različnih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pričakovanj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partnerjev, uskladitvi dejavnosti projekta, delit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v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i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nalog in odgovornosti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, 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časovni razpored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ivti aktivnosti</w:t>
            </w:r>
            <w:r w:rsidR="00856F1B" w:rsidRP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in </w:t>
            </w:r>
            <w:r w:rsidR="00856F1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določitvi projektinih rokov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.</w:t>
            </w:r>
          </w:p>
          <w:p w14:paraId="17B90989" w14:textId="77777777" w:rsidR="000A6897" w:rsidRPr="00856F1B" w:rsidRDefault="000A6897" w:rsidP="00856F1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</w:p>
          <w:p w14:paraId="5AB867ED" w14:textId="4AE132E5"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2</w:t>
            </w:r>
            <w:r w:rsidR="000A6897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– predstavitveni </w:t>
            </w:r>
            <w:r w:rsidR="00085FEB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dogodki</w:t>
            </w:r>
          </w:p>
          <w:p w14:paraId="52E9314C" w14:textId="15920016" w:rsidR="000A6897" w:rsidRPr="007D7EE1" w:rsidRDefault="003C6F4A" w:rsidP="007944B3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7944B3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7944B3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5243">
              <w:rPr>
                <w:rFonts w:ascii="Arial" w:hAnsi="Arial" w:cs="Arial"/>
                <w:sz w:val="22"/>
                <w:szCs w:val="22"/>
                <w:lang w:val="sl-SI"/>
              </w:rPr>
              <w:t>Dogodki so se izv</w:t>
            </w:r>
            <w:r w:rsidR="000A6897">
              <w:rPr>
                <w:rFonts w:ascii="Arial" w:hAnsi="Arial" w:cs="Arial"/>
                <w:sz w:val="22"/>
                <w:szCs w:val="22"/>
                <w:lang w:val="sl-SI"/>
              </w:rPr>
              <w:t>edli med aprilom in majem 2015 v vseh partnerskih državah in so omogočili srečanje 129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</w:t>
            </w:r>
          </w:p>
          <w:p w14:paraId="0D176818" w14:textId="2541BAF8" w:rsidR="000A6897" w:rsidRDefault="0082313C" w:rsidP="000A6897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</w:t>
            </w:r>
            <w:r w:rsidR="007944B3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7944B3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Loulé (Portugal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ska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), Koper (Sloveni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j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a), Vilnius (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Litva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), Rybnik (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Poljska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)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in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Koln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Nemčija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, 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pril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 in maja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2015.</w:t>
            </w:r>
          </w:p>
          <w:p w14:paraId="6CDFB6EC" w14:textId="13BC7A70" w:rsidR="00E336C8" w:rsidRDefault="003C6F4A" w:rsidP="00DB5243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D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ogodki so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bili namenjeni predstavitvi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projekta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lokalnim interesnim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skupin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am in medijem. Dogodki so spodbudili začetek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dialoga 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med lokalnimi oblastmi, lokalnimi organizacijami civilne družbe in nevladnimi organiziranih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. Vklučeni deležniki so sozačeli razpravljati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o glavnih vprašanjih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projekta - sodelovanju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državljanov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v družbenih procesih –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natančneje o najpogosteje uporabljenih mehanizmih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za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vključevanje državljanosv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v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odločevalske procese in javne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politik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e.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R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azpravljali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smo tudi o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dostop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u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državljanov do odločanja na </w:t>
            </w:r>
            <w:r w:rsid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vseh </w:t>
            </w:r>
            <w:r w:rsidR="000A6897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ravneh (lokalni, nacionalni in evropski).</w:t>
            </w:r>
          </w:p>
          <w:p w14:paraId="75E0AD14" w14:textId="77777777" w:rsidR="000A6897" w:rsidRPr="000A6897" w:rsidRDefault="000A6897" w:rsidP="000A6897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</w:p>
          <w:p w14:paraId="5D7969A7" w14:textId="49E53517"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3</w:t>
            </w:r>
            <w:r w:rsidR="00DB5243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– lokalni seminarji</w:t>
            </w:r>
          </w:p>
          <w:p w14:paraId="15D7177E" w14:textId="79251619" w:rsidR="003C6F4A" w:rsidRPr="007D7EE1" w:rsidRDefault="003C6F4A" w:rsidP="003C6F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Udeležba: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5243">
              <w:rPr>
                <w:rFonts w:ascii="Arial" w:hAnsi="Arial" w:cs="Arial"/>
                <w:sz w:val="22"/>
                <w:szCs w:val="22"/>
                <w:lang w:val="sl-SI"/>
              </w:rPr>
              <w:t>Dogodki so se izvedli med septembrom in novembrom 2015 v vseh partnerskih državah in so omogočili srečanje 208</w:t>
            </w:r>
            <w:r w:rsidR="00DB5243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</w:t>
            </w:r>
          </w:p>
          <w:p w14:paraId="77ACFEDB" w14:textId="0EC07D66" w:rsidR="003C6F4A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Kraj/datum: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Loulé (Portugal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ska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), Koper (Sloveni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j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a), Vilnius (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Litva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), Rybnik (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Poljska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)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ter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Koln in Berlin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Nemčija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, med septembrom in novembrom</w:t>
            </w:r>
            <w:r w:rsidR="00DB5243"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2015.</w:t>
            </w:r>
          </w:p>
          <w:p w14:paraId="42BA1FB4" w14:textId="3FD47E83" w:rsidR="003C6F4A" w:rsidRPr="007D7EE1" w:rsidRDefault="003C6F4A" w:rsidP="00DB5243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Lokalni seminarji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so 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omogočali državljanom razmislek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o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lastni</w:t>
            </w:r>
            <w:r w:rsid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udeležbi oz. partecipaciji 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(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pogojih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, ovir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ah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in priložnosti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h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), kot tudi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 različnih obstoječih mehanizmih, ki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na različnih ravneh spodbujajo</w:t>
            </w:r>
            <w:r w:rsidR="009A669F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partecipacijo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. Lokalni seminarji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so spodbujali tudi izmenjavo informacij in mnenj med državljani, 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lokalnimi oblastmi in lokalnimi organizacijami, da b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skupaj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i bolje razumeli delovanje, cilje in omejitve različnih mehanizmov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partecipacije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državljanov na lokalni, nacionalni in evropski ravni (peticije,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javna posvetovanja, referendumi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, spletne aplikacije za 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partecipacijo</w:t>
            </w:r>
            <w:r w:rsidR="00DB5243" w:rsidRPr="00DB5243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, participativno pripravo proračuna, itd)</w:t>
            </w:r>
            <w:r w:rsidR="009A669F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.</w:t>
            </w:r>
          </w:p>
          <w:p w14:paraId="795F17E0" w14:textId="77777777" w:rsidR="00E336C8" w:rsidRPr="007D7EE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14:paraId="079125E3" w14:textId="37CF4D76" w:rsidR="001B6BB4" w:rsidRPr="007D7EE1" w:rsidRDefault="001B6BB4" w:rsidP="001B6BB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4 – </w:t>
            </w:r>
            <w:r w:rsidR="00085FEB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M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ednarodna konferenca</w:t>
            </w:r>
          </w:p>
          <w:p w14:paraId="72C52C16" w14:textId="59F021D0" w:rsidR="001B6BB4" w:rsidRPr="007D7EE1" w:rsidRDefault="001B6BB4" w:rsidP="001B6BB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Udeležba: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Dogodek je omogočil srečanje 66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državljanov,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ki prihajajo iz 5 partnerksih držav – Portugalska, Nemčija, Litva, Slovenija in Poljska.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14:paraId="77200A4F" w14:textId="77777777" w:rsidR="006236D4" w:rsidRDefault="001B6BB4" w:rsidP="006236D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Kraj/datum: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Dogodek je potekal v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Loulé, </w:t>
            </w:r>
            <w:r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Portugal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ska od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25/11/2015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do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27/11/2015.</w:t>
            </w:r>
          </w:p>
          <w:p w14:paraId="14C7F034" w14:textId="18ACCB26" w:rsidR="006236D4" w:rsidRDefault="006236D4" w:rsidP="006236D4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Konferenca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je omogočila 3 polne dni razprav med državljani, organizacijami civilne družbe in lokalnih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oblasti iz 5 evropskih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projektnih partnerskih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držav. Med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konferecno so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udeleženci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identificirali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skupne pr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obleme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 katerimi se soočajo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pri spodbujanju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participacije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v njihovih okoljih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, delili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so ti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tudi nekatere pobude in projekte, ki so priznani kot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primeri dobrih praks na področjih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kot so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: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izobraževanje za politično sodelovanje, vključevanje mladih pri odločanju, vključitev nepismenih odraslih in migrantov v d</w:t>
            </w:r>
            <w:r w:rsid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emokratičnem življenju v Evropi, ipd. Za zakljulček so 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vsi udeleženci </w:t>
            </w:r>
            <w:r w:rsid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spoznali potenciale e-demokracije in e-uprave, njune</w:t>
            </w:r>
            <w:r w:rsidRPr="006236D4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izzive in priložnosti.</w:t>
            </w:r>
          </w:p>
          <w:p w14:paraId="37FA3344" w14:textId="77777777" w:rsidR="00085FEB" w:rsidRDefault="00085FEB" w:rsidP="006236D4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</w:p>
          <w:p w14:paraId="0E93DD46" w14:textId="08E8213F" w:rsidR="00085FEB" w:rsidRPr="007D7EE1" w:rsidRDefault="00085FEB" w:rsidP="00085FEB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5 – Evalvacijski sestanek</w:t>
            </w:r>
          </w:p>
          <w:p w14:paraId="599C8AFD" w14:textId="735AC7FA" w:rsidR="00085FEB" w:rsidRPr="007D7EE1" w:rsidRDefault="00085FEB" w:rsidP="00085FEB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Udeležba: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Dogodek je omogočil srečanje 6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državljanov,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ki prihajajo iz 5 partnerksih držav – Portugalska, Nemčija, Litva, Slovenija in Poljska.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14:paraId="658CED77" w14:textId="5AD3175D" w:rsidR="00085FEB" w:rsidRDefault="00085FEB" w:rsidP="00085FE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Kraj/datum: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Dogodek je potekal v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Faru, </w:t>
            </w:r>
            <w:r w:rsidRPr="000A689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Portugal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ska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28/11/2015.</w:t>
            </w:r>
          </w:p>
          <w:p w14:paraId="0BF8A9CC" w14:textId="09ACF2DD" w:rsidR="006236D4" w:rsidRPr="006236D4" w:rsidRDefault="00085FEB" w:rsidP="006236D4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Sestanek je omogočil posameznikom, ki so bili v partnerskih organizacijah odgovorni za izvajanje projekta evalvacijo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rezultatov in učin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k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ov projekta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,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premislek o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glavnih težav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ah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in različnih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možnostih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za izboljšanje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sodelovanja 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v prihodnosti.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Izpostavljene so bile potencialne izboljšave na področjih: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koordinacije, komunikacije, prepoznavnosti, razširjanja, delitev nalog, vsebine, itd. Na srečanju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so 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partnerji </w:t>
            </w:r>
            <w:r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razpravljali tudi o follow-up projeta</w:t>
            </w:r>
            <w:r w:rsidRPr="00085FEB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.</w:t>
            </w:r>
          </w:p>
        </w:tc>
      </w:tr>
    </w:tbl>
    <w:p w14:paraId="7799B3FB" w14:textId="77777777" w:rsidR="00D0280B" w:rsidRPr="007D7EE1" w:rsidRDefault="00D0280B" w:rsidP="00E01AA3">
      <w:pPr>
        <w:pStyle w:val="Default"/>
        <w:spacing w:before="240"/>
        <w:jc w:val="both"/>
        <w:rPr>
          <w:color w:val="auto"/>
          <w:sz w:val="18"/>
          <w:szCs w:val="18"/>
          <w:lang w:val="sl-SI"/>
        </w:rPr>
      </w:pPr>
      <w:bookmarkStart w:id="0" w:name="_GoBack"/>
      <w:bookmarkEnd w:id="0"/>
    </w:p>
    <w:sectPr w:rsidR="00D0280B" w:rsidRPr="007D7EE1" w:rsidSect="00E01AA3">
      <w:pgSz w:w="11906" w:h="16838" w:code="9"/>
      <w:pgMar w:top="284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58DD" w14:textId="77777777" w:rsidR="00816424" w:rsidRDefault="00816424" w:rsidP="00E81594">
      <w:r>
        <w:separator/>
      </w:r>
    </w:p>
  </w:endnote>
  <w:endnote w:type="continuationSeparator" w:id="0">
    <w:p w14:paraId="10057530" w14:textId="77777777" w:rsidR="00816424" w:rsidRDefault="00816424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18C4" w14:textId="77777777" w:rsidR="00816424" w:rsidRDefault="00816424" w:rsidP="00E81594">
      <w:r>
        <w:separator/>
      </w:r>
    </w:p>
  </w:footnote>
  <w:footnote w:type="continuationSeparator" w:id="0">
    <w:p w14:paraId="2D7397FF" w14:textId="77777777" w:rsidR="00816424" w:rsidRDefault="00816424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EBC"/>
    <w:rsid w:val="000419C3"/>
    <w:rsid w:val="0004252C"/>
    <w:rsid w:val="000651D7"/>
    <w:rsid w:val="00065A96"/>
    <w:rsid w:val="00082262"/>
    <w:rsid w:val="00085FEB"/>
    <w:rsid w:val="00092A12"/>
    <w:rsid w:val="00096FF4"/>
    <w:rsid w:val="000A6897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6BB4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467F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6F4A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50C4F"/>
    <w:rsid w:val="005719AD"/>
    <w:rsid w:val="00573E9B"/>
    <w:rsid w:val="0057678E"/>
    <w:rsid w:val="00581B1B"/>
    <w:rsid w:val="005951CE"/>
    <w:rsid w:val="005B2DC9"/>
    <w:rsid w:val="005C3A9F"/>
    <w:rsid w:val="00602542"/>
    <w:rsid w:val="006028E1"/>
    <w:rsid w:val="006053CA"/>
    <w:rsid w:val="00606208"/>
    <w:rsid w:val="006064C4"/>
    <w:rsid w:val="00610103"/>
    <w:rsid w:val="00612B60"/>
    <w:rsid w:val="00620DD5"/>
    <w:rsid w:val="006236D4"/>
    <w:rsid w:val="00632464"/>
    <w:rsid w:val="00635A92"/>
    <w:rsid w:val="00641917"/>
    <w:rsid w:val="00654728"/>
    <w:rsid w:val="006670CF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0585"/>
    <w:rsid w:val="007C2A70"/>
    <w:rsid w:val="007C562D"/>
    <w:rsid w:val="007D7EE1"/>
    <w:rsid w:val="007E16EC"/>
    <w:rsid w:val="007E587C"/>
    <w:rsid w:val="007F3C13"/>
    <w:rsid w:val="007F4F39"/>
    <w:rsid w:val="007F5D3D"/>
    <w:rsid w:val="00816424"/>
    <w:rsid w:val="0082313C"/>
    <w:rsid w:val="008442A8"/>
    <w:rsid w:val="00856F1B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A669F"/>
    <w:rsid w:val="009C3E2B"/>
    <w:rsid w:val="009C4248"/>
    <w:rsid w:val="009E0CBB"/>
    <w:rsid w:val="00A012FB"/>
    <w:rsid w:val="00A05232"/>
    <w:rsid w:val="00A05D65"/>
    <w:rsid w:val="00A13E5B"/>
    <w:rsid w:val="00A16CA1"/>
    <w:rsid w:val="00A41546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0F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B5243"/>
    <w:rsid w:val="00DC33C7"/>
    <w:rsid w:val="00DD0906"/>
    <w:rsid w:val="00DD7AC2"/>
    <w:rsid w:val="00DE01C2"/>
    <w:rsid w:val="00DE4207"/>
    <w:rsid w:val="00E01AA3"/>
    <w:rsid w:val="00E0598B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391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C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outhaf0part">
    <w:name w:val="youth.af.0.part"/>
    <w:basedOn w:val="Navade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avaden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avade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avaden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povezava">
    <w:name w:val="Hyperlink"/>
    <w:basedOn w:val="Privzetapisavaodstavka"/>
    <w:rsid w:val="00C7191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protnaopomba-sklic">
    <w:name w:val="footnote reference"/>
    <w:basedOn w:val="Privzetapisavaodstavka"/>
    <w:uiPriority w:val="99"/>
    <w:semiHidden/>
    <w:rsid w:val="00E81594"/>
    <w:rPr>
      <w:rFonts w:cs="Times New Roman"/>
      <w:vertAlign w:val="superscript"/>
    </w:rPr>
  </w:style>
  <w:style w:type="paragraph" w:styleId="Navadensplet">
    <w:name w:val="Normal (Web)"/>
    <w:basedOn w:val="Navade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E81594"/>
    <w:rPr>
      <w:rFonts w:cs="Times New Roman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3B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927012"/>
  </w:style>
  <w:style w:type="character" w:customStyle="1" w:styleId="hps">
    <w:name w:val="hps"/>
    <w:basedOn w:val="Privzetapisavaodstavka"/>
    <w:rsid w:val="00927012"/>
  </w:style>
  <w:style w:type="paragraph" w:styleId="Brezrazmikov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595A-A13D-4E8F-B4BE-EF48625D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Piri Piri</cp:lastModifiedBy>
  <cp:revision>8</cp:revision>
  <cp:lastPrinted>2013-03-18T09:44:00Z</cp:lastPrinted>
  <dcterms:created xsi:type="dcterms:W3CDTF">2014-09-29T15:12:00Z</dcterms:created>
  <dcterms:modified xsi:type="dcterms:W3CDTF">2016-03-08T09:50:00Z</dcterms:modified>
</cp:coreProperties>
</file>